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C" w:rsidRDefault="00162B1C"/>
    <w:p w:rsidR="0028182F" w:rsidRDefault="00E63954" w:rsidP="002818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сведения</w:t>
      </w:r>
      <w:r w:rsidR="0028182F" w:rsidRPr="0028182F">
        <w:rPr>
          <w:rFonts w:ascii="Times New Roman" w:hAnsi="Times New Roman" w:cs="Times New Roman"/>
          <w:sz w:val="28"/>
        </w:rPr>
        <w:t xml:space="preserve"> из информационной системы обеспечения гра</w:t>
      </w:r>
      <w:r w:rsidR="0028182F">
        <w:rPr>
          <w:rFonts w:ascii="Times New Roman" w:hAnsi="Times New Roman" w:cs="Times New Roman"/>
          <w:sz w:val="28"/>
        </w:rPr>
        <w:t>д</w:t>
      </w:r>
      <w:r w:rsidR="0028182F" w:rsidRPr="0028182F">
        <w:rPr>
          <w:rFonts w:ascii="Times New Roman" w:hAnsi="Times New Roman" w:cs="Times New Roman"/>
          <w:sz w:val="28"/>
        </w:rPr>
        <w:t>остроительной деятельности</w:t>
      </w:r>
    </w:p>
    <w:p w:rsidR="0028182F" w:rsidRDefault="0028182F" w:rsidP="0028182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096"/>
        <w:gridCol w:w="2096"/>
        <w:gridCol w:w="2104"/>
        <w:gridCol w:w="1672"/>
        <w:gridCol w:w="1756"/>
      </w:tblGrid>
      <w:tr w:rsidR="003260CC" w:rsidTr="003260CC">
        <w:tc>
          <w:tcPr>
            <w:tcW w:w="2151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Наименование информационной системы</w:t>
            </w:r>
          </w:p>
        </w:tc>
        <w:tc>
          <w:tcPr>
            <w:tcW w:w="2096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Вид информационной системы</w:t>
            </w:r>
          </w:p>
        </w:tc>
        <w:tc>
          <w:tcPr>
            <w:tcW w:w="2096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Электронный адрес информационной системы</w:t>
            </w:r>
          </w:p>
        </w:tc>
        <w:tc>
          <w:tcPr>
            <w:tcW w:w="2104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1672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Платность получения информации</w:t>
            </w:r>
          </w:p>
        </w:tc>
        <w:tc>
          <w:tcPr>
            <w:tcW w:w="1756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Срок получения информации</w:t>
            </w:r>
          </w:p>
        </w:tc>
      </w:tr>
      <w:tr w:rsidR="003260CC" w:rsidTr="003260CC">
        <w:tc>
          <w:tcPr>
            <w:tcW w:w="2151" w:type="dxa"/>
            <w:vAlign w:val="center"/>
          </w:tcPr>
          <w:p w:rsidR="003260CC" w:rsidRDefault="003260CC" w:rsidP="009678C6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  <w:shd w:val="clear" w:color="auto" w:fill="FFFFFF"/>
              </w:rPr>
              <w:t>Информационная система обеспечения градостроительной деятельности муниципального района Безенчукский</w:t>
            </w:r>
          </w:p>
        </w:tc>
        <w:tc>
          <w:tcPr>
            <w:tcW w:w="2096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муниципальная</w:t>
            </w:r>
          </w:p>
        </w:tc>
        <w:tc>
          <w:tcPr>
            <w:tcW w:w="2096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1) Сведения, копии документа из разделов информационной системы обеспечения градостроительной деятельности (ИСОГД);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2) Сведения из информационной системы обеспечения градостроительной деятельности о статусе земельного участка (земельных участков):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 xml:space="preserve">- сведения о нахождении земельного участка или земельных участков в </w:t>
            </w:r>
            <w:r>
              <w:rPr>
                <w:rFonts w:ascii="RobotoRegular" w:hAnsi="RobotoRegular"/>
                <w:color w:val="333333"/>
                <w:sz w:val="21"/>
                <w:szCs w:val="21"/>
              </w:rPr>
              <w:lastRenderedPageBreak/>
              <w:t xml:space="preserve">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      </w:r>
            <w:proofErr w:type="spellStart"/>
            <w:r>
              <w:rPr>
                <w:rFonts w:ascii="RobotoRegular" w:hAnsi="RobotoRegular"/>
                <w:color w:val="333333"/>
                <w:sz w:val="21"/>
                <w:szCs w:val="21"/>
              </w:rPr>
              <w:t>выкопировки</w:t>
            </w:r>
            <w:proofErr w:type="spellEnd"/>
            <w:r>
              <w:rPr>
                <w:rFonts w:ascii="RobotoRegular" w:hAnsi="RobotoRegular"/>
                <w:color w:val="333333"/>
                <w:sz w:val="21"/>
                <w:szCs w:val="21"/>
              </w:rPr>
      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заявителем;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 xml:space="preserve"> - границы территориальной зоны (территориальных зон), в которой находится земельный участок (земельные участки), сведения об установлении сервитута (сервитутов) в </w:t>
            </w:r>
            <w:r>
              <w:rPr>
                <w:rFonts w:ascii="RobotoRegular" w:hAnsi="RobotoRegular"/>
                <w:color w:val="333333"/>
                <w:sz w:val="21"/>
                <w:szCs w:val="21"/>
              </w:rPr>
              <w:lastRenderedPageBreak/>
              <w:t>отношении соответствующего земельного участка (земельных участков);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 -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сервитута;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-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администрации;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 xml:space="preserve"> - градостроительный регламент (градостроительные </w:t>
            </w:r>
            <w:r>
              <w:rPr>
                <w:rFonts w:ascii="RobotoRegular" w:hAnsi="RobotoRegular"/>
                <w:color w:val="333333"/>
                <w:sz w:val="21"/>
                <w:szCs w:val="21"/>
              </w:rPr>
              <w:lastRenderedPageBreak/>
              <w:t>регламенты)</w:t>
            </w:r>
          </w:p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  <w:shd w:val="clear" w:color="auto" w:fill="FFFFFF"/>
              </w:rPr>
              <w:lastRenderedPageBreak/>
              <w:t>Предоставление муниципальной услуги осуществляется за плату. (См. ниже.)</w:t>
            </w:r>
          </w:p>
        </w:tc>
        <w:tc>
          <w:tcPr>
            <w:tcW w:w="1756" w:type="dxa"/>
            <w:vAlign w:val="center"/>
          </w:tcPr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  5 рабочих дней со дня осуществления оплаты заявителем, по обращению с заявлением о предоставлении муниципальной услуги после 1 января 2022 года.</w:t>
            </w:r>
          </w:p>
          <w:p w:rsidR="003260CC" w:rsidRDefault="003260CC" w:rsidP="009678C6">
            <w:pPr>
              <w:pStyle w:val="a4"/>
              <w:shd w:val="clear" w:color="auto" w:fill="FFFFFF"/>
              <w:spacing w:before="0" w:beforeAutospacing="0" w:after="113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По выбору заявителя сведения, документы, материалы предоставляются в бумажной форме или электронной форме.</w:t>
            </w:r>
          </w:p>
          <w:p w:rsidR="003260CC" w:rsidRDefault="003260CC">
            <w:pPr>
              <w:pStyle w:val="a4"/>
              <w:spacing w:before="0" w:beforeAutospacing="0" w:after="113" w:afterAutospacing="0"/>
              <w:jc w:val="center"/>
              <w:rPr>
                <w:rFonts w:ascii="RobotoRegular" w:hAnsi="RobotoRegular"/>
                <w:color w:val="333333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28182F" w:rsidRPr="0028182F" w:rsidRDefault="0028182F" w:rsidP="0028182F">
      <w:pPr>
        <w:jc w:val="center"/>
        <w:rPr>
          <w:rFonts w:ascii="Times New Roman" w:hAnsi="Times New Roman" w:cs="Times New Roman"/>
          <w:sz w:val="28"/>
        </w:rPr>
      </w:pPr>
    </w:p>
    <w:p w:rsidR="001446FA" w:rsidRDefault="009678C6" w:rsidP="009678C6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24A7D5"/>
          <w:sz w:val="21"/>
          <w:szCs w:val="21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</w:t>
      </w:r>
      <w:r w:rsidRPr="009678C6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орядок получения услуги </w:t>
      </w:r>
      <w:hyperlink r:id="rId5" w:tgtFrame="_blank" w:history="1">
        <w:r w:rsidRPr="009678C6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ссылка</w:t>
        </w:r>
      </w:hyperlink>
      <w:r w:rsidR="00213076">
        <w:rPr>
          <w:rFonts w:ascii="RobotoRegular" w:eastAsia="Times New Roman" w:hAnsi="RobotoRegular" w:cs="Times New Roman"/>
          <w:color w:val="24A7D5"/>
          <w:sz w:val="21"/>
          <w:szCs w:val="21"/>
          <w:lang w:eastAsia="ru-RU"/>
        </w:rPr>
        <w:t xml:space="preserve">  (</w:t>
      </w:r>
      <w:hyperlink r:id="rId6" w:history="1">
        <w:r w:rsidR="001446FA" w:rsidRPr="00C8599C">
          <w:rPr>
            <w:rStyle w:val="a5"/>
            <w:rFonts w:ascii="RobotoRegular" w:eastAsia="Times New Roman" w:hAnsi="RobotoRegular" w:cs="Times New Roman"/>
            <w:sz w:val="21"/>
            <w:szCs w:val="21"/>
            <w:lang w:eastAsia="ru-RU"/>
          </w:rPr>
          <w:t>https://admbezenchuk.ru/munitsipalnyy-rayon-bezenchukskiy-/administrativnye-reglamenty-/</w:t>
        </w:r>
      </w:hyperlink>
      <w:r w:rsidR="001446FA">
        <w:rPr>
          <w:rFonts w:ascii="RobotoRegular" w:eastAsia="Times New Roman" w:hAnsi="RobotoRegular" w:cs="Times New Roman"/>
          <w:color w:val="24A7D5"/>
          <w:sz w:val="21"/>
          <w:szCs w:val="21"/>
          <w:lang w:eastAsia="ru-RU"/>
        </w:rPr>
        <w:t>)</w:t>
      </w:r>
    </w:p>
    <w:p w:rsidR="009678C6" w:rsidRPr="009678C6" w:rsidRDefault="009678C6" w:rsidP="009678C6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9678C6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* Разделы ИСОГД (раздел помечается любым знаком в соответствующем поле):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7"/>
        <w:gridCol w:w="413"/>
      </w:tblGrid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1446FA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Знак</w:t>
            </w: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I «Документы территориального планирования Российской Федерации»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II «Документы территориального планирования  двух и более субъектов Российской Федерации, документы территориального планирования субъектов Российской Федерации»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III «Нормативы градостроительного проектирования»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 IV «Правила землепользования и застройки, внесение в них изменений»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V «Градостроительное зонирование»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A44C7C">
        <w:trPr>
          <w:trHeight w:val="307"/>
        </w:trPr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VI «Правила благоустройства территории»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VII «Планировка территории»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VIII«Инженерные</w:t>
            </w:r>
            <w:proofErr w:type="spellEnd"/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изыскания»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IX «Искусственные земельные участки»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 «Зоны с особыми условиями использования территории»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XI «План надземных и подземных коммуникаций»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XII «Резервирование земель и изъятие земельных участков»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XIII «Дела о застроенных или подлежащих застройке земельных участках»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XIV «Программы реализации документов территориального планирования»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XV «Особо охраняемые природные территории»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XVI «Лесничества»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XVII «Информационные модели объектов капитального строительства»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9678C6" w:rsidRPr="009678C6" w:rsidTr="009678C6">
        <w:tc>
          <w:tcPr>
            <w:tcW w:w="0" w:type="auto"/>
            <w:shd w:val="clear" w:color="auto" w:fill="FFFFFF"/>
            <w:vAlign w:val="center"/>
            <w:hideMark/>
          </w:tcPr>
          <w:p w:rsid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678C6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Раздел XVIII «Иные сведения, документы материалы»</w:t>
            </w:r>
          </w:p>
          <w:p w:rsidR="00E84E9C" w:rsidRPr="00E84E9C" w:rsidRDefault="00E84E9C" w:rsidP="00E84E9C">
            <w:pPr>
              <w:shd w:val="clear" w:color="auto" w:fill="FFFFFF"/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E84E9C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*Реквизиты для внесения платы за предоставление муниципальной услуги в безналичной форме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4"/>
              <w:gridCol w:w="6237"/>
            </w:tblGrid>
            <w:tr w:rsidR="00E84E9C" w:rsidRPr="00E84E9C" w:rsidTr="00E84E9C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84E9C" w:rsidRPr="00E84E9C" w:rsidRDefault="00E84E9C" w:rsidP="00E84E9C">
                  <w:pPr>
                    <w:spacing w:after="113" w:line="240" w:lineRule="auto"/>
                    <w:rPr>
                      <w:rFonts w:ascii="RobotoRegular" w:eastAsia="Times New Roman" w:hAnsi="RobotoRegular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84E9C">
                    <w:rPr>
                      <w:rFonts w:ascii="RobotoRegular" w:eastAsia="Times New Roman" w:hAnsi="RobotoRegular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Муниципальный район,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84E9C" w:rsidRPr="00E84E9C" w:rsidRDefault="00E84E9C" w:rsidP="00E84E9C">
                  <w:pPr>
                    <w:spacing w:after="113" w:line="240" w:lineRule="auto"/>
                    <w:jc w:val="both"/>
                    <w:rPr>
                      <w:rFonts w:ascii="RobotoRegular" w:eastAsia="Times New Roman" w:hAnsi="RobotoRegular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E84E9C">
                    <w:rPr>
                      <w:rFonts w:ascii="RobotoRegular" w:eastAsia="Times New Roman" w:hAnsi="RobotoRegular" w:cs="Times New Roman"/>
                      <w:color w:val="333333"/>
                      <w:sz w:val="21"/>
                      <w:szCs w:val="21"/>
                      <w:lang w:eastAsia="ru-RU"/>
                    </w:rPr>
                    <w:t>Банковские реквизиты</w:t>
                  </w:r>
                </w:p>
              </w:tc>
            </w:tr>
            <w:tr w:rsidR="00E84E9C" w:rsidRPr="00E84E9C" w:rsidTr="00E84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84E9C" w:rsidRPr="00213076" w:rsidRDefault="00E84E9C" w:rsidP="00E84E9C">
                  <w:pPr>
                    <w:spacing w:after="113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13076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Муниципальный район Безенчукский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УФК по Самарской области (Управление финансами Администрации муниципального района Безенчукский Самарской области)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ЕКС 40102810545370000036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307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13076">
                    <w:rPr>
                      <w:rFonts w:ascii="Times New Roman" w:hAnsi="Times New Roman" w:cs="Times New Roman"/>
                    </w:rPr>
                    <w:t>/с 03100643000000014200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 xml:space="preserve">Отделение Самара Банка России //УФК по Самарской области </w:t>
                  </w:r>
                  <w:proofErr w:type="spellStart"/>
                  <w:r w:rsidRPr="00213076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13076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213076">
                    <w:rPr>
                      <w:rFonts w:ascii="Times New Roman" w:hAnsi="Times New Roman" w:cs="Times New Roman"/>
                    </w:rPr>
                    <w:t>амара</w:t>
                  </w:r>
                  <w:proofErr w:type="spellEnd"/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БИК 013601205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ИНН 6362011639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КПП 636201001</w:t>
                  </w:r>
                </w:p>
                <w:p w:rsidR="00213076" w:rsidRPr="00213076" w:rsidRDefault="00213076" w:rsidP="0021307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ОКТМО 36604000</w:t>
                  </w:r>
                </w:p>
                <w:p w:rsidR="00E84E9C" w:rsidRPr="00213076" w:rsidRDefault="00213076" w:rsidP="00213076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13076">
                    <w:rPr>
                      <w:rFonts w:ascii="Times New Roman" w:hAnsi="Times New Roman" w:cs="Times New Roman"/>
                    </w:rPr>
                    <w:t>КБК 91211301995050000130</w:t>
                  </w:r>
                </w:p>
              </w:tc>
            </w:tr>
          </w:tbl>
          <w:p w:rsidR="009678C6" w:rsidRPr="009678C6" w:rsidRDefault="009678C6" w:rsidP="009678C6">
            <w:pPr>
              <w:spacing w:after="113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E9C" w:rsidRDefault="00E84E9C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E9C" w:rsidRDefault="00E84E9C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E9C" w:rsidRDefault="00E84E9C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E9C" w:rsidRPr="009678C6" w:rsidRDefault="00E84E9C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46FA" w:rsidRDefault="001446FA" w:rsidP="00213076">
      <w:pPr>
        <w:shd w:val="clear" w:color="auto" w:fill="FFFFFF"/>
        <w:spacing w:after="113" w:line="240" w:lineRule="auto"/>
      </w:pPr>
    </w:p>
    <w:p w:rsidR="00213076" w:rsidRPr="00074898" w:rsidRDefault="00F134C5" w:rsidP="00213076">
      <w:pPr>
        <w:shd w:val="clear" w:color="auto" w:fill="FFFFFF"/>
        <w:spacing w:after="113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7" w:tgtFrame="_blank" w:history="1">
        <w:proofErr w:type="gramStart"/>
        <w:r w:rsidR="00E84E9C" w:rsidRPr="00E84E9C">
          <w:rPr>
            <w:rStyle w:val="a5"/>
            <w:rFonts w:ascii="RobotoRegular" w:hAnsi="RobotoRegular"/>
            <w:b/>
            <w:color w:val="auto"/>
            <w:sz w:val="21"/>
            <w:szCs w:val="21"/>
            <w:shd w:val="clear" w:color="auto" w:fill="FFFFFF"/>
          </w:rPr>
          <w:t>Постановление №279 от 13.03.2020 Об информационном обеспечении градостроительной деятельности.</w:t>
        </w:r>
      </w:hyperlink>
      <w:r w:rsidR="00213076">
        <w:rPr>
          <w:rStyle w:val="a5"/>
          <w:b/>
          <w:color w:val="auto"/>
          <w:sz w:val="21"/>
          <w:szCs w:val="21"/>
          <w:shd w:val="clear" w:color="auto" w:fill="FFFFFF"/>
        </w:rPr>
        <w:t xml:space="preserve">  </w:t>
      </w:r>
      <w:r w:rsidR="00213076" w:rsidRPr="001446FA">
        <w:rPr>
          <w:rStyle w:val="a5"/>
          <w:b/>
          <w:color w:val="00B0F0"/>
          <w:sz w:val="21"/>
          <w:szCs w:val="21"/>
          <w:shd w:val="clear" w:color="auto" w:fill="FFFFFF"/>
        </w:rPr>
        <w:t>(</w:t>
      </w:r>
      <w:r w:rsidR="00213076">
        <w:rPr>
          <w:rFonts w:eastAsia="Times New Roman" w:cs="Times New Roman"/>
          <w:color w:val="24A7D5"/>
          <w:sz w:val="21"/>
          <w:szCs w:val="21"/>
          <w:lang w:eastAsia="ru-RU"/>
        </w:rPr>
        <w:t>(</w:t>
      </w:r>
      <w:r w:rsidR="00213076" w:rsidRPr="00213076">
        <w:rPr>
          <w:rFonts w:eastAsia="Times New Roman" w:cs="Times New Roman"/>
          <w:color w:val="24A7D5"/>
          <w:sz w:val="21"/>
          <w:szCs w:val="21"/>
          <w:lang w:eastAsia="ru-RU"/>
        </w:rPr>
        <w:t>https://base.garant.ru/73751804/</w:t>
      </w:r>
      <w:r w:rsidR="00213076">
        <w:rPr>
          <w:rFonts w:eastAsia="Times New Roman" w:cs="Times New Roman"/>
          <w:color w:val="24A7D5"/>
          <w:sz w:val="21"/>
          <w:szCs w:val="21"/>
          <w:lang w:eastAsia="ru-RU"/>
        </w:rPr>
        <w:t>)</w:t>
      </w:r>
      <w:proofErr w:type="gramEnd"/>
    </w:p>
    <w:p w:rsidR="003E2AAB" w:rsidRPr="00E84E9C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b/>
          <w:color w:val="333333"/>
          <w:sz w:val="21"/>
          <w:szCs w:val="21"/>
        </w:rPr>
      </w:pPr>
      <w:r w:rsidRPr="00E84E9C">
        <w:rPr>
          <w:rFonts w:ascii="RobotoRegular" w:hAnsi="RobotoRegular"/>
          <w:b/>
          <w:color w:val="333333"/>
          <w:sz w:val="21"/>
          <w:szCs w:val="21"/>
        </w:rPr>
        <w:t>III. Размер платы за предоставление сведений, документов,</w:t>
      </w:r>
      <w:r w:rsidR="00E84E9C">
        <w:rPr>
          <w:rFonts w:ascii="RobotoRegular" w:hAnsi="RobotoRegular"/>
          <w:b/>
          <w:color w:val="333333"/>
          <w:sz w:val="21"/>
          <w:szCs w:val="21"/>
        </w:rPr>
        <w:t xml:space="preserve"> </w:t>
      </w:r>
      <w:r w:rsidRPr="00E84E9C">
        <w:rPr>
          <w:rFonts w:ascii="RobotoRegular" w:hAnsi="RobotoRegular"/>
          <w:b/>
          <w:color w:val="333333"/>
          <w:sz w:val="21"/>
          <w:szCs w:val="21"/>
        </w:rPr>
        <w:t>материалов и порядок взимания такой платы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3E2AAB" w:rsidRDefault="003E2AAB" w:rsidP="003E2AAB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28182F" w:rsidRDefault="0028182F"/>
    <w:sectPr w:rsidR="0028182F" w:rsidSect="0028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2F"/>
    <w:rsid w:val="00074898"/>
    <w:rsid w:val="001446FA"/>
    <w:rsid w:val="00162B1C"/>
    <w:rsid w:val="00213076"/>
    <w:rsid w:val="0028182F"/>
    <w:rsid w:val="003260CC"/>
    <w:rsid w:val="003E2AAB"/>
    <w:rsid w:val="005D2C0B"/>
    <w:rsid w:val="009678C6"/>
    <w:rsid w:val="009E7B1B"/>
    <w:rsid w:val="00A44C7C"/>
    <w:rsid w:val="00E53EE7"/>
    <w:rsid w:val="00E63954"/>
    <w:rsid w:val="00E84E9C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36518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ezenchuk.ru/munitsipalnyy-rayon-bezenchukskiy-/administrativnye-reglamenty-/" TargetMode="External"/><Relationship Id="rId5" Type="http://schemas.openxmlformats.org/officeDocument/2006/relationships/hyperlink" Target="http://www.klvadm.ru/regulatory/grad/administrativnye-reglamenty/?ELEMENT_ID=28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2023-02-08T07:15:00Z</dcterms:created>
  <dcterms:modified xsi:type="dcterms:W3CDTF">2023-02-09T08:56:00Z</dcterms:modified>
</cp:coreProperties>
</file>