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7A6C06" w:rsidRDefault="004E400C">
      <w:pPr>
        <w:pStyle w:val="ae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Минэкономразвития напоминает предпринимателям о мерах господдержки и правах при госконтроле</w:t>
      </w:r>
    </w:p>
    <w:p w14:paraId="02000000" w14:textId="77777777" w:rsidR="007A6C06" w:rsidRDefault="007A6C06">
      <w:pPr>
        <w:pStyle w:val="ae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03000000" w14:textId="77777777" w:rsidR="007A6C06" w:rsidRDefault="004E400C">
      <w:pPr>
        <w:pStyle w:val="ae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Ежегодно </w:t>
      </w:r>
      <w:r>
        <w:rPr>
          <w:rFonts w:ascii="Times New Roman" w:hAnsi="Times New Roman"/>
          <w:color w:val="000000" w:themeColor="text1"/>
          <w:sz w:val="24"/>
          <w:u w:val="single"/>
        </w:rPr>
        <w:t>26 мая отмечается День российского предпринимательства</w:t>
      </w:r>
      <w:r>
        <w:rPr>
          <w:rFonts w:ascii="Times New Roman" w:hAnsi="Times New Roman"/>
          <w:color w:val="000000" w:themeColor="text1"/>
          <w:sz w:val="24"/>
        </w:rPr>
        <w:t xml:space="preserve">, установленный Указом Президента России. </w:t>
      </w:r>
    </w:p>
    <w:p w14:paraId="04000000" w14:textId="77777777" w:rsidR="007A6C06" w:rsidRDefault="004E400C">
      <w:pPr>
        <w:pStyle w:val="ae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Минэкономразвития России считает важным в этот праздник напомнить о мерах, которые помогают развитию предпринимательства, способствуют созданию более комфортной среды для работы малого, среднего и крупного бизнеса в России. Этому посвящена специальная серия видеороликов министерства, созданная при участии </w:t>
      </w:r>
      <w:r>
        <w:rPr>
          <w:rFonts w:ascii="Times New Roman" w:hAnsi="Times New Roman"/>
          <w:color w:val="000000" w:themeColor="text1"/>
          <w:sz w:val="24"/>
        </w:rPr>
        <w:br/>
        <w:t xml:space="preserve">центра институционального развития контрольной (надзорной) деятельности Фонда «ЦСР», о правах бизнесменов при госконтроле и актуальных мерах государственной поддержки, действующих в 2023 году для бизнеса. </w:t>
      </w:r>
    </w:p>
    <w:p w14:paraId="05000000" w14:textId="77777777" w:rsidR="007A6C06" w:rsidRDefault="004E400C">
      <w:pPr>
        <w:pStyle w:val="ae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В серию вошли три ролика: «ПРОВЕРКИ: ПРОСТО О ГЛАВНОМ» рассказывает </w:t>
      </w:r>
      <w:r>
        <w:rPr>
          <w:rFonts w:ascii="Times New Roman" w:hAnsi="Times New Roman"/>
          <w:color w:val="000000" w:themeColor="text1"/>
          <w:sz w:val="24"/>
        </w:rPr>
        <w:br/>
        <w:t xml:space="preserve">о правах предпринимателя при проведении проверок, «ПРЕДПРИНИМАТЕЛЮ </w:t>
      </w:r>
      <w:r>
        <w:rPr>
          <w:rFonts w:ascii="Times New Roman" w:hAnsi="Times New Roman"/>
          <w:color w:val="000000" w:themeColor="text1"/>
          <w:sz w:val="24"/>
        </w:rPr>
        <w:br/>
        <w:t>О ПРЕДОСТЕРЕЖЕНИИ» — о правах предпринимателей в случае получения предостережения, третий ролик дает обзор действующих мер государственной поддержки бизнеса.</w:t>
      </w:r>
    </w:p>
    <w:p w14:paraId="2D7CE84A" w14:textId="77777777" w:rsidR="004E400C" w:rsidRDefault="004E400C">
      <w:pPr>
        <w:pStyle w:val="ae"/>
        <w:spacing w:line="276" w:lineRule="auto"/>
        <w:ind w:firstLine="360"/>
        <w:jc w:val="both"/>
        <w:rPr>
          <w:rFonts w:ascii="XO Thames" w:hAnsi="XO Thames"/>
          <w:i/>
          <w:color w:val="000000" w:themeColor="text1"/>
          <w:sz w:val="24"/>
          <w:u w:val="single"/>
          <w:lang w:val="en-US"/>
        </w:rPr>
      </w:pPr>
    </w:p>
    <w:p w14:paraId="09000000" w14:textId="1BCD492C" w:rsidR="007A6C06" w:rsidRDefault="004E400C">
      <w:pPr>
        <w:pStyle w:val="ae"/>
        <w:spacing w:line="276" w:lineRule="auto"/>
        <w:ind w:firstLine="360"/>
        <w:jc w:val="both"/>
        <w:rPr>
          <w:rFonts w:ascii="XO Thames" w:hAnsi="XO Thames"/>
          <w:color w:val="000000" w:themeColor="text1"/>
          <w:sz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u w:val="single"/>
        </w:rPr>
        <w:t>О проверках</w:t>
      </w:r>
      <w:r>
        <w:rPr>
          <w:rFonts w:ascii="XO Thames" w:hAnsi="XO Thames"/>
          <w:color w:val="000000" w:themeColor="text1"/>
          <w:sz w:val="24"/>
          <w:u w:val="single"/>
        </w:rPr>
        <w:t xml:space="preserve"> </w:t>
      </w:r>
    </w:p>
    <w:p w14:paraId="0A000000" w14:textId="77777777" w:rsidR="007A6C06" w:rsidRDefault="004E400C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«Госуслуги» пришло уведомления о проведении проверки. Узнать о правах предпринимателя при проверке поможет видеоролик Минэкономразвития России.</w:t>
      </w:r>
    </w:p>
    <w:p w14:paraId="0B000000" w14:textId="77777777" w:rsidR="007A6C06" w:rsidRDefault="007A6C06">
      <w:pPr>
        <w:pStyle w:val="ae"/>
        <w:spacing w:line="276" w:lineRule="auto"/>
        <w:ind w:firstLine="360"/>
        <w:jc w:val="both"/>
        <w:rPr>
          <w:rFonts w:ascii="XO Thames" w:hAnsi="XO Thames"/>
          <w:color w:val="000000" w:themeColor="text1"/>
          <w:sz w:val="24"/>
        </w:rPr>
      </w:pPr>
    </w:p>
    <w:p w14:paraId="0C000000" w14:textId="77777777" w:rsidR="007A6C06" w:rsidRDefault="004E400C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u w:val="single"/>
        </w:rPr>
        <w:t xml:space="preserve">О профилактических мероприятиях (профилактических визитах и предостережениях) </w:t>
      </w:r>
    </w:p>
    <w:p w14:paraId="0D000000" w14:textId="77777777" w:rsidR="007A6C06" w:rsidRDefault="004E400C">
      <w:pPr>
        <w:pStyle w:val="ae"/>
        <w:spacing w:line="276" w:lineRule="auto"/>
        <w:ind w:firstLine="360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14:paraId="0E000000" w14:textId="77777777" w:rsidR="007A6C06" w:rsidRDefault="007A6C06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</w:rPr>
      </w:pPr>
    </w:p>
    <w:p w14:paraId="0F000000" w14:textId="77777777" w:rsidR="007A6C06" w:rsidRDefault="004E400C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 </w:t>
      </w:r>
    </w:p>
    <w:p w14:paraId="10000000" w14:textId="77777777" w:rsidR="007A6C06" w:rsidRDefault="007A6C06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</w:rPr>
      </w:pPr>
    </w:p>
    <w:p w14:paraId="11000000" w14:textId="77777777" w:rsidR="007A6C06" w:rsidRDefault="004E400C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lastRenderedPageBreak/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14:paraId="12000000" w14:textId="77777777" w:rsidR="007A6C06" w:rsidRDefault="007A6C06">
      <w:pPr>
        <w:pStyle w:val="ae"/>
        <w:spacing w:line="276" w:lineRule="auto"/>
        <w:jc w:val="both"/>
        <w:rPr>
          <w:rFonts w:ascii="XO Thames" w:hAnsi="XO Thames"/>
          <w:color w:val="000000" w:themeColor="text1"/>
          <w:sz w:val="24"/>
        </w:rPr>
      </w:pPr>
    </w:p>
    <w:p w14:paraId="13000000" w14:textId="77777777" w:rsidR="007A6C06" w:rsidRDefault="004E400C">
      <w:pPr>
        <w:pStyle w:val="ae"/>
        <w:spacing w:line="276" w:lineRule="auto"/>
        <w:jc w:val="both"/>
        <w:rPr>
          <w:rFonts w:ascii="XO Thames" w:hAnsi="XO Thames"/>
          <w:b/>
          <w:i/>
          <w:color w:val="000000" w:themeColor="text1"/>
          <w:sz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u w:val="single"/>
        </w:rPr>
        <w:t>О мерах государственной поддержки</w:t>
      </w:r>
    </w:p>
    <w:p w14:paraId="14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1.</w:t>
      </w:r>
      <w:r>
        <w:rPr>
          <w:rFonts w:ascii="XO Thames" w:hAnsi="XO Thames"/>
          <w:i/>
          <w:color w:val="000000" w:themeColor="text1"/>
          <w:sz w:val="24"/>
        </w:rPr>
        <w:tab/>
        <w:t>Разрешительная деятельность и лицензирование</w:t>
      </w:r>
    </w:p>
    <w:p w14:paraId="15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- Продление на 12 месяцев отдельных срочных разрешений, сроки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на право осуществления деятельности по предоставлению труда работников (персонала) и иные).</w:t>
      </w:r>
    </w:p>
    <w:p w14:paraId="16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- Право ведомств принимать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14:paraId="17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- Не требуется переоформлять разрешения в случае переименования юр. лица, изменения наименования географического объекта.</w:t>
      </w:r>
    </w:p>
    <w:p w14:paraId="18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- Не требуется оплата гос. пошлин в рамках лицензирования.</w:t>
      </w:r>
    </w:p>
    <w:p w14:paraId="19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- Некоторые особенности разрешительной деятельности в отдельных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14:paraId="1A000000" w14:textId="77777777" w:rsidR="007A6C06" w:rsidRDefault="007A6C06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</w:p>
    <w:p w14:paraId="1B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* более подробно можно посмотреть какие изменения были внесены постановлением Правительства РФ от 23.01.2023 N 63 "О внесении изменений в постановление Правительства Российской Федерации от 12 марта 2022 г. N 353 и признании утратившим силу отдельного положения постановления Правительства Российской Федерации от 12 сентября 2022 г. N 1589"</w:t>
      </w:r>
    </w:p>
    <w:p w14:paraId="1D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2.</w:t>
      </w:r>
      <w:r>
        <w:rPr>
          <w:rFonts w:ascii="XO Thames" w:hAnsi="XO Thames"/>
          <w:i/>
          <w:color w:val="000000" w:themeColor="text1"/>
          <w:sz w:val="24"/>
        </w:rPr>
        <w:tab/>
        <w:t>Мораторий на проверки</w:t>
      </w:r>
    </w:p>
    <w:p w14:paraId="1F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14:paraId="20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</w:p>
    <w:p w14:paraId="21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при необходимости принять меры реагирования, но сохранить средства для развития такого учреждения. </w:t>
      </w:r>
    </w:p>
    <w:p w14:paraId="22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Практически в полном объеме продлены на 2023 год ограничения на внеплановые проверки – подход изменился только в части проверок 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 в 2022 году проверка допускалась только в случае, если выявленный индикатор риска сопряжен с непосредственной угрозой жизни граждан.  </w:t>
      </w:r>
    </w:p>
    <w:p w14:paraId="24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>3. Упрощение оценки соответствия</w:t>
      </w:r>
    </w:p>
    <w:p w14:paraId="25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Продлена до 1 сентября 2023 г. возможность оформления «упрощенных» деклараций </w:t>
      </w:r>
      <w:r>
        <w:rPr>
          <w:rFonts w:ascii="XO Thames" w:hAnsi="XO Thames"/>
          <w:i/>
          <w:color w:val="000000" w:themeColor="text1"/>
          <w:sz w:val="24"/>
        </w:rPr>
        <w:br/>
        <w:t xml:space="preserve">о соответствии продукции на основании доказательств ее безопасности, имеющихся у импортера, производителя, поставщика (п. 6 Приложения № 18 к постановлению Правительства Российской Федерации от 12 марта 2022 г. .№ 353). </w:t>
      </w:r>
    </w:p>
    <w:p w14:paraId="26000000" w14:textId="77777777" w:rsidR="007A6C06" w:rsidRDefault="004E400C">
      <w:pPr>
        <w:spacing w:before="240" w:after="240" w:line="240" w:lineRule="auto"/>
        <w:jc w:val="both"/>
        <w:rPr>
          <w:color w:val="000000" w:themeColor="text1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Продолжает действовать упрощенный порядок ввоза продукции 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 </w:t>
      </w:r>
    </w:p>
    <w:p w14:paraId="28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4. Аккредитация в национальной системе аккредитации </w:t>
      </w:r>
    </w:p>
    <w:p w14:paraId="29000000" w14:textId="77777777" w:rsidR="007A6C06" w:rsidRDefault="004E400C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 </w:t>
      </w:r>
    </w:p>
    <w:p w14:paraId="2A000000" w14:textId="77777777" w:rsidR="007A6C06" w:rsidRDefault="004E400C">
      <w:pPr>
        <w:pStyle w:val="ae"/>
        <w:spacing w:line="276" w:lineRule="auto"/>
        <w:jc w:val="both"/>
        <w:rPr>
          <w:rFonts w:ascii="XO Thames" w:hAnsi="XO Thames"/>
          <w:i/>
          <w:color w:val="000000" w:themeColor="text1"/>
          <w:sz w:val="24"/>
        </w:rPr>
      </w:pPr>
      <w:r>
        <w:rPr>
          <w:rFonts w:ascii="XO Thames" w:hAnsi="XO Thames"/>
          <w:i/>
          <w:color w:val="000000" w:themeColor="text1"/>
          <w:sz w:val="24"/>
        </w:rPr>
        <w:t xml:space="preserve"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 </w:t>
      </w:r>
    </w:p>
    <w:p w14:paraId="2B000000" w14:textId="77777777" w:rsidR="007A6C06" w:rsidRDefault="007A6C06">
      <w:pPr>
        <w:spacing w:before="240" w:after="240" w:line="240" w:lineRule="auto"/>
        <w:jc w:val="both"/>
        <w:rPr>
          <w:rFonts w:ascii="XO Thames" w:hAnsi="XO Thames"/>
          <w:i/>
          <w:color w:val="000000" w:themeColor="text1"/>
          <w:sz w:val="24"/>
        </w:rPr>
      </w:pPr>
    </w:p>
    <w:p w14:paraId="2C000000" w14:textId="77777777" w:rsidR="007A6C06" w:rsidRDefault="007A6C06">
      <w:pPr>
        <w:rPr>
          <w:color w:val="000000" w:themeColor="text1"/>
          <w:sz w:val="24"/>
        </w:rPr>
      </w:pPr>
    </w:p>
    <w:sectPr w:rsidR="007A6C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m Pro Bl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06"/>
    <w:rsid w:val="004E400C"/>
    <w:rsid w:val="007A6C06"/>
    <w:rsid w:val="00D84D0E"/>
    <w:rsid w:val="00F2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A2122-5D3F-4C79-BF38-D5FB070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DDDDDD" w:themeColor="accent1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paragraph" w:customStyle="1" w:styleId="14">
    <w:name w:val="Знак сноски1"/>
    <w:basedOn w:val="21"/>
    <w:link w:val="a5"/>
    <w:rPr>
      <w:vertAlign w:val="superscript"/>
    </w:rPr>
  </w:style>
  <w:style w:type="character" w:styleId="a5">
    <w:name w:val="footnote reference"/>
    <w:basedOn w:val="a0"/>
    <w:link w:val="14"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DDDDD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DDDDDD" w:themeColor="accent1"/>
      <w:sz w:val="18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endnote text"/>
    <w:basedOn w:val="a"/>
    <w:link w:val="af2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1"/>
    <w:link w:val="af1"/>
    <w:rPr>
      <w:sz w:val="20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</w:style>
  <w:style w:type="paragraph" w:styleId="af5">
    <w:name w:val="table of figures"/>
    <w:basedOn w:val="a"/>
    <w:next w:val="a"/>
    <w:link w:val="af6"/>
    <w:pPr>
      <w:spacing w:after="0"/>
    </w:pPr>
  </w:style>
  <w:style w:type="character" w:customStyle="1" w:styleId="af6">
    <w:name w:val="Перечень рисунков Знак"/>
    <w:basedOn w:val="1"/>
    <w:link w:val="af5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a">
    <w:name w:val="Выделение1"/>
    <w:basedOn w:val="12"/>
    <w:link w:val="1b"/>
    <w:rPr>
      <w:i/>
    </w:rPr>
  </w:style>
  <w:style w:type="character" w:customStyle="1" w:styleId="1b">
    <w:name w:val="Выделение1"/>
    <w:basedOn w:val="13"/>
    <w:link w:val="1a"/>
    <w:rPr>
      <w:i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Знак концевой сноски1"/>
    <w:basedOn w:val="21"/>
    <w:link w:val="af7"/>
    <w:rPr>
      <w:vertAlign w:val="superscript"/>
    </w:rPr>
  </w:style>
  <w:style w:type="character" w:styleId="af7">
    <w:name w:val="endnote reference"/>
    <w:basedOn w:val="a0"/>
    <w:link w:val="1c"/>
    <w:rPr>
      <w:vertAlign w:val="superscript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21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f3">
    <w:name w:val="Гиперссылка1"/>
    <w:basedOn w:val="12"/>
    <w:link w:val="1f4"/>
    <w:rPr>
      <w:color w:val="5F5F5F" w:themeColor="hyperlink"/>
      <w:u w:val="single"/>
    </w:rPr>
  </w:style>
  <w:style w:type="character" w:customStyle="1" w:styleId="1f4">
    <w:name w:val="Гиперссылка1"/>
    <w:basedOn w:val="13"/>
    <w:link w:val="1f3"/>
    <w:rPr>
      <w:color w:val="5F5F5F" w:themeColor="hyperlink"/>
      <w:u w:val="single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B2B2" w:themeColor="accent4" w:themeTint="9A"/>
        <w:bottom w:val="single" w:sz="4" w:space="0" w:color="B2B2B2" w:themeColor="accent4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949494" w:themeColor="accent6" w:themeTint="98"/>
        <w:bottom w:val="single" w:sz="4" w:space="0" w:color="949494" w:themeColor="accent6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949494" w:themeColor="accent6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E9E9E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DDDDDD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E9E9E" w:themeColor="accent5" w:themeTint="9A"/>
        <w:bottom w:val="single" w:sz="4" w:space="0" w:color="9E9E9E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B2B2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DDDDDD" w:themeColor="accent1"/>
        <w:bottom w:val="single" w:sz="4" w:space="0" w:color="DDDDDD" w:themeColor="accent1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0C0C0" w:themeColor="accent3" w:themeTint="98"/>
        <w:bottom w:val="single" w:sz="4" w:space="0" w:color="C0C0C0" w:themeColor="accent3" w:themeTint="98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1D1D1" w:themeColor="accent2" w:themeTint="97"/>
        <w:bottom w:val="single" w:sz="4" w:space="0" w:color="D1D1D1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1D1D1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0C0C0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2024-09-05T09:35:00Z</dcterms:created>
  <dcterms:modified xsi:type="dcterms:W3CDTF">2024-09-05T09:35:00Z</dcterms:modified>
</cp:coreProperties>
</file>