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Самарской области установились погодные условия с высокой температурой воздуха. Работа в нагревающем микроклимате сопровождается напряжением деятельности различных функциональных систем организма, приводит к ухудшению самочувствия, снижению работоспособности</w:t>
      </w: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и производительности труда, может быть причиной нарушения состояния здоровья.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соответствии со статьёй 214 Трудового Кодекса Российской Федерации </w:t>
      </w:r>
      <w:r w:rsidRPr="00F853B1">
        <w:rPr>
          <w:rFonts w:ascii="Arial" w:eastAsia="Times New Roman" w:hAnsi="Arial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работодатель обязан обеспечить безопасные условия труда работников.</w:t>
      </w: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целях защиты работающих от возможного перегревания </w:t>
      </w:r>
      <w:r w:rsidRPr="00F853B1">
        <w:rPr>
          <w:rFonts w:ascii="Arial" w:eastAsia="Times New Roman" w:hAnsi="Arial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время пребывания на рабочих местах</w:t>
      </w: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F853B1">
        <w:rPr>
          <w:rFonts w:ascii="Arial" w:eastAsia="Times New Roman" w:hAnsi="Arial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может быть ограничено величинами, приведенными в таблице.</w:t>
      </w:r>
    </w:p>
    <w:tbl>
      <w:tblPr>
        <w:tblW w:w="155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86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82"/>
        <w:gridCol w:w="1417"/>
      </w:tblGrid>
      <w:tr w:rsidR="00F853B1" w:rsidRPr="00F853B1" w:rsidTr="00F853B1">
        <w:tc>
          <w:tcPr>
            <w:tcW w:w="1132" w:type="dxa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ТНС-индекс, °C</w:t>
            </w:r>
          </w:p>
        </w:tc>
        <w:tc>
          <w:tcPr>
            <w:tcW w:w="14417" w:type="dxa"/>
            <w:gridSpan w:val="16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proofErr w:type="spell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Энерготраты</w:t>
            </w:r>
            <w:proofErr w:type="spellEnd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, Вт/м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 (категория работы)</w:t>
            </w:r>
          </w:p>
        </w:tc>
      </w:tr>
      <w:tr w:rsidR="00F853B1" w:rsidRPr="00F853B1" w:rsidTr="00F853B1">
        <w:tc>
          <w:tcPr>
            <w:tcW w:w="1132" w:type="dxa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88 (</w:t>
            </w:r>
            <w:proofErr w:type="spellStart"/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I</w:t>
            </w:r>
            <w:proofErr w:type="gramEnd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б</w:t>
            </w:r>
            <w:proofErr w:type="spellEnd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113 (</w:t>
            </w:r>
            <w:proofErr w:type="spell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II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а</w:t>
            </w:r>
            <w:proofErr w:type="spellEnd"/>
            <w:proofErr w:type="gramEnd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145 (</w:t>
            </w:r>
            <w:proofErr w:type="spell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II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б</w:t>
            </w:r>
            <w:proofErr w:type="spellEnd"/>
            <w:proofErr w:type="gramEnd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00" w:type="dxa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176 (III)</w:t>
            </w:r>
          </w:p>
        </w:tc>
      </w:tr>
      <w:tr w:rsidR="00F853B1" w:rsidRPr="00F853B1" w:rsidTr="00F853B1">
        <w:tc>
          <w:tcPr>
            <w:tcW w:w="1132" w:type="dxa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 xml:space="preserve">суммарно за рабочую смену, 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в течение часа, мин</w:t>
            </w:r>
          </w:p>
        </w:tc>
        <w:tc>
          <w:tcPr>
            <w:tcW w:w="1701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 xml:space="preserve">суммарно за рабочую смену, 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в течение часа, мин</w:t>
            </w:r>
          </w:p>
        </w:tc>
        <w:tc>
          <w:tcPr>
            <w:tcW w:w="1701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 xml:space="preserve">суммарно за рабочую смену, 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в течение часа, мин</w:t>
            </w:r>
          </w:p>
        </w:tc>
        <w:tc>
          <w:tcPr>
            <w:tcW w:w="1701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 xml:space="preserve">суммарно за рабочую смену, </w:t>
            </w:r>
            <w:proofErr w:type="gramStart"/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499" w:type="dxa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в течение часа, мин</w:t>
            </w:r>
          </w:p>
        </w:tc>
      </w:tr>
      <w:tr w:rsidR="00F853B1" w:rsidRPr="00F853B1" w:rsidTr="00F853B1">
        <w:trPr>
          <w:trHeight w:val="704"/>
        </w:trPr>
        <w:tc>
          <w:tcPr>
            <w:tcW w:w="1132" w:type="dxa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bookmarkStart w:id="0" w:name="_GoBack" w:colFirst="1" w:colLast="16"/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5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6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7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8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9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10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11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3B1" w:rsidRPr="00F853B1" w:rsidRDefault="00F853B1" w:rsidP="00F8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отдых </w:t>
            </w:r>
            <w:hyperlink r:id="rId12" w:anchor="P528" w:history="1">
              <w:r w:rsidRPr="00F853B1">
                <w:rPr>
                  <w:rFonts w:ascii="Arial" w:eastAsia="Times New Roman" w:hAnsi="Arial" w:cs="Arial"/>
                  <w:color w:val="3B4256"/>
                  <w:sz w:val="16"/>
                  <w:szCs w:val="16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</w:tr>
      <w:bookmarkEnd w:id="0"/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11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22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&gt; 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31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41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49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52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58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</w:tr>
      <w:tr w:rsidR="00F853B1" w:rsidRPr="00F853B1" w:rsidTr="00F853B1">
        <w:tc>
          <w:tcPr>
            <w:tcW w:w="113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8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—</w:t>
            </w:r>
          </w:p>
        </w:tc>
      </w:tr>
      <w:tr w:rsidR="00F853B1" w:rsidRPr="00F853B1" w:rsidTr="00F853B1">
        <w:tc>
          <w:tcPr>
            <w:tcW w:w="15549" w:type="dxa"/>
            <w:gridSpan w:val="17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3B1" w:rsidRPr="00F853B1" w:rsidRDefault="00F853B1" w:rsidP="00F853B1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</w:pPr>
            <w:r w:rsidRPr="00F853B1">
              <w:rPr>
                <w:rFonts w:ascii="Arial" w:eastAsia="Times New Roman" w:hAnsi="Arial" w:cs="Arial"/>
                <w:color w:val="3B4256"/>
                <w:sz w:val="16"/>
                <w:szCs w:val="16"/>
                <w:lang w:eastAsia="ru-RU"/>
              </w:rPr>
              <w:t>&lt;*&gt; Отдых или работа в оптимальном микроклимате.</w:t>
            </w:r>
          </w:p>
        </w:tc>
      </w:tr>
    </w:tbl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в целях профилактики неблагоприятного воздействия вредных факторов </w:t>
      </w:r>
      <w:r w:rsidRPr="00F853B1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работодателем могут использоваться защитные мероприятия</w:t>
      </w: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(средства индивидуальной защиты, помещения для отдыха, регламентация времени работы, в частности, перерывы в работе, перенос смены на утреннее или вечернее время и др.).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работе, сопровождающейся существенной термической нагрузкой на организм человека (повышенная температура воздуха, физическая работа категории </w:t>
      </w:r>
      <w:proofErr w:type="spellStart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IIа</w:t>
      </w:r>
      <w:proofErr w:type="spellEnd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— III, использование спецодежды из </w:t>
      </w:r>
      <w:proofErr w:type="spellStart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воздух</w:t>
      </w:r>
      <w:proofErr w:type="gramStart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proofErr w:type="spellEnd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</w:t>
      </w:r>
      <w:proofErr w:type="gramEnd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и влагонепроницаемых материалов), которая может привести к повышению температуры тела до 38 °C и выше, </w:t>
      </w:r>
      <w:r w:rsidRPr="00F853B1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необходимо обеспечение медицинского контроля за работающими в течение рабочей смены.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 24 — 25 °C. Это условие необходимо соблюдать, чтобы избежать охлаждения организма вследствие большого перепада температур (поверхность тела — окружающий воздух) и усиленной теплоотдачи испарением пота.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целях профилактики обезвоживания организма рекомендуется правильно организовать и соблюдать питьевой режим. Питьевая вода должна быть</w:t>
      </w: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 достаточном количестве и в доступной близости.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уменьшения продолжительности ежедневной работы (смены) </w:t>
      </w:r>
      <w:r w:rsidRPr="00F853B1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оплата труда работников</w:t>
      </w: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с учетом прогнозов метеослужб может быть рекомендовано предоставление по соглашению между работодателем и работником краткосрочных </w:t>
      </w:r>
      <w:r w:rsidRPr="00F853B1">
        <w:rPr>
          <w:rFonts w:ascii="Arial" w:eastAsia="Times New Roman" w:hAnsi="Arial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ежегодных оплачиваемых отпусков вне графика.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С рекомендациями </w:t>
      </w:r>
      <w:proofErr w:type="spellStart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Роспотребнадзора</w:t>
      </w:r>
      <w:proofErr w:type="spellEnd"/>
      <w:r w:rsidRPr="00F853B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для работающих в условиях повышенных температур воздуха можно ознакомиться по ссылке:</w:t>
      </w:r>
    </w:p>
    <w:p w:rsidR="00F853B1" w:rsidRPr="00F853B1" w:rsidRDefault="00F853B1" w:rsidP="00F853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13" w:history="1">
        <w:r w:rsidRPr="00F853B1">
          <w:rPr>
            <w:rFonts w:ascii="Arial" w:eastAsia="Times New Roman" w:hAnsi="Arial" w:cs="Arial"/>
            <w:color w:val="3B4256"/>
            <w:sz w:val="24"/>
            <w:szCs w:val="24"/>
            <w:bdr w:val="none" w:sz="0" w:space="0" w:color="auto" w:frame="1"/>
            <w:lang w:eastAsia="ru-RU"/>
          </w:rPr>
          <w:t>https://www.rospotrebnadzor.ru/about/info/news/news_details.php?ELEMENT_ID=27755</w:t>
        </w:r>
      </w:hyperlink>
    </w:p>
    <w:p w:rsidR="00666FE9" w:rsidRDefault="00666FE9"/>
    <w:sectPr w:rsidR="00666FE9" w:rsidSect="00F85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B1"/>
    <w:rsid w:val="00666FE9"/>
    <w:rsid w:val="00F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3B1"/>
    <w:rPr>
      <w:b/>
      <w:bCs/>
    </w:rPr>
  </w:style>
  <w:style w:type="character" w:styleId="a5">
    <w:name w:val="Hyperlink"/>
    <w:basedOn w:val="a0"/>
    <w:uiPriority w:val="99"/>
    <w:semiHidden/>
    <w:unhideWhenUsed/>
    <w:rsid w:val="00F853B1"/>
    <w:rPr>
      <w:color w:val="0000FF"/>
      <w:u w:val="single"/>
    </w:rPr>
  </w:style>
  <w:style w:type="character" w:styleId="a6">
    <w:name w:val="Emphasis"/>
    <w:basedOn w:val="a0"/>
    <w:uiPriority w:val="20"/>
    <w:qFormat/>
    <w:rsid w:val="00F85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3B1"/>
    <w:rPr>
      <w:b/>
      <w:bCs/>
    </w:rPr>
  </w:style>
  <w:style w:type="character" w:styleId="a5">
    <w:name w:val="Hyperlink"/>
    <w:basedOn w:val="a0"/>
    <w:uiPriority w:val="99"/>
    <w:semiHidden/>
    <w:unhideWhenUsed/>
    <w:rsid w:val="00F853B1"/>
    <w:rPr>
      <w:color w:val="0000FF"/>
      <w:u w:val="single"/>
    </w:rPr>
  </w:style>
  <w:style w:type="character" w:styleId="a6">
    <w:name w:val="Emphasis"/>
    <w:basedOn w:val="a0"/>
    <w:uiPriority w:val="20"/>
    <w:qFormat/>
    <w:rsid w:val="00F85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13" Type="http://schemas.openxmlformats.org/officeDocument/2006/relationships/hyperlink" Target="https://www.rospotrebnadzor.ru/about/info/news/news_details.php?ELEMENT_ID=27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12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11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5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samregion.ru/2024/06/06/rekomendaczii-ministerstva-truda-samarskoj-oblasti-po-organizaczii-rezhimov-truda-i-otdyha-rabotnikov-v-usloviyah-ekstremalno-vysokih-temperatu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2024-06-24T11:15:00Z</dcterms:created>
  <dcterms:modified xsi:type="dcterms:W3CDTF">2024-06-24T11:21:00Z</dcterms:modified>
</cp:coreProperties>
</file>