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773">
        <w:rPr>
          <w:sz w:val="28"/>
          <w:szCs w:val="28"/>
        </w:rPr>
        <w:t>Неправомерный отказ в государственной регистрации индивидуального предпринимателя или юридического лица либо уклонение от их регистрации (порядок регистрации определен Федеральным законом от 08.08.2001 № 129-ФЗ (ред. от 08.08.2024) «О государственной регистрации юридических лиц и индивидуальных предпринимателей»);</w:t>
      </w:r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</w:p>
    <w:p w:rsid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773">
        <w:rPr>
          <w:sz w:val="28"/>
          <w:szCs w:val="28"/>
        </w:rPr>
        <w:t>неправомерный отказ в выдаче специального разрешения (лицензии) на осуществление определенной деятельности либо уклонение от его выдачи, ограничение прав и законных интересов индивидуального предпринимателя или юридического лица в зависимости от организационно-правовой формы, а равно незаконное ограничение самостоятельности (процедура получения определена Федеральным законом от 04.05.2011 № 99-ФЗ «О лицензировании отдельных видов деятельности»);</w:t>
      </w:r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65773">
        <w:rPr>
          <w:sz w:val="28"/>
          <w:szCs w:val="28"/>
        </w:rPr>
        <w:t>иное незаконное вмешательство в деятельность индивидуального предпринимателя или юридического лица, если эти деяния совершены должностным лицом с использованием своего служебного положения, </w:t>
      </w:r>
    </w:p>
    <w:p w:rsid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65773">
        <w:rPr>
          <w:sz w:val="28"/>
          <w:szCs w:val="28"/>
        </w:rPr>
        <w:t>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месяцев,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</w:t>
      </w:r>
      <w:proofErr w:type="gramEnd"/>
      <w:r w:rsidRPr="00765773">
        <w:rPr>
          <w:sz w:val="28"/>
          <w:szCs w:val="28"/>
        </w:rPr>
        <w:t xml:space="preserve"> шести месяцев, либо обязательными работами на срок до трехсот шестидесяти часов. </w:t>
      </w:r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</w:p>
    <w:p w:rsid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65773">
        <w:rPr>
          <w:sz w:val="28"/>
          <w:szCs w:val="28"/>
        </w:rPr>
        <w:t>Те же деяния, совершенные в нарушение вступившего в законную силу судебного акта, а равно причинившие крупный ущерб,</w:t>
      </w:r>
      <w:r>
        <w:rPr>
          <w:sz w:val="28"/>
          <w:szCs w:val="28"/>
        </w:rPr>
        <w:t xml:space="preserve"> </w:t>
      </w:r>
      <w:r w:rsidRPr="00765773">
        <w:rPr>
          <w:sz w:val="28"/>
          <w:szCs w:val="28"/>
        </w:rPr>
        <w:t>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года, либо обязательными работами</w:t>
      </w:r>
      <w:proofErr w:type="gramEnd"/>
      <w:r w:rsidRPr="00765773">
        <w:rPr>
          <w:sz w:val="28"/>
          <w:szCs w:val="28"/>
        </w:rPr>
        <w:t xml:space="preserve"> на срок до четырехсот восьмидесяти часов, либо принудительными работами на срок до трех лет, либо арестом на срок до шести месяцев, либо лишением свободы на срок до трех лет. </w:t>
      </w:r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</w:p>
    <w:p w:rsid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773">
        <w:rPr>
          <w:sz w:val="28"/>
          <w:szCs w:val="28"/>
        </w:rPr>
        <w:t>Необходимо учитывать, что крупным ущербом в указанной статье признается ущерб, сумма которого превышает один миллион пятьсот тысяч рублей. </w:t>
      </w:r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bookmarkStart w:id="0" w:name="_GoBack"/>
      <w:bookmarkEnd w:id="0"/>
    </w:p>
    <w:p w:rsidR="00765773" w:rsidRPr="00765773" w:rsidRDefault="00765773" w:rsidP="0076577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65773">
        <w:rPr>
          <w:sz w:val="28"/>
          <w:szCs w:val="28"/>
        </w:rPr>
        <w:t>Ответственность предусмотрена для должностных лиц, осуществляющих функции представителя власти либо выполняющих организационно-распорядительные, административно-хозяйственные функции в государственных органах и учреждениях</w:t>
      </w:r>
    </w:p>
    <w:p w:rsidR="00DE75C8" w:rsidRDefault="00DE75C8"/>
    <w:sectPr w:rsidR="00DE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73"/>
    <w:rsid w:val="00765773"/>
    <w:rsid w:val="00D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2024-10-16T12:08:00Z</dcterms:created>
  <dcterms:modified xsi:type="dcterms:W3CDTF">2024-10-16T12:09:00Z</dcterms:modified>
</cp:coreProperties>
</file>