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7059EF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7059E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99799D" w:rsidRPr="007059EF" w:rsidRDefault="001B5C30" w:rsidP="007059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для размещения объектов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7C2B1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электросетевого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хозяйства, необходимых для подключения (технологического присоединения) к сетям инженерно-технологического обеспечения</w:t>
      </w:r>
      <w:r w:rsidR="007C2B1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"ЛЭП-0,4 </w:t>
      </w:r>
      <w:proofErr w:type="spellStart"/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опор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ы № 100/2 ВЛ-0,4 </w:t>
      </w:r>
      <w:proofErr w:type="spellStart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 КТП № 209/160 </w:t>
      </w:r>
      <w:proofErr w:type="spellStart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ВЛ-10 </w:t>
      </w:r>
      <w:proofErr w:type="spellStart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Ф-2 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35/10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/6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«Купино</w:t>
      </w:r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с установкой ПУ 380В в Безенчукском районе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д. </w:t>
      </w:r>
      <w:proofErr w:type="spellStart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Сретенка</w:t>
      </w:r>
      <w:proofErr w:type="spellEnd"/>
      <w:r w:rsidR="007C2B1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отношении земель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 участка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находящегося в границах кадастрового квартала</w:t>
      </w:r>
      <w:r w:rsidR="0099799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99799D" w:rsidRPr="007059EF" w:rsidRDefault="00626D5D" w:rsidP="007059EF">
      <w:pPr>
        <w:tabs>
          <w:tab w:val="left" w:pos="93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-  63:12:0704001</w:t>
      </w:r>
      <w:r w:rsidR="0099799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Самарская область, Безенчукский район.</w:t>
      </w:r>
    </w:p>
    <w:p w:rsidR="00A03606" w:rsidRPr="007059EF" w:rsidRDefault="00A90B9C" w:rsidP="007059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необходимости установления пуб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л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ичного сервитута: 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о-</w:t>
      </w:r>
      <w:proofErr w:type="gram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cooрyжeния</w:t>
      </w:r>
      <w:proofErr w:type="spell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(подпункт 6 пункта 2 </w:t>
      </w:r>
      <w:proofErr w:type="spellStart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статъи</w:t>
      </w:r>
      <w:proofErr w:type="spell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39.41 Земельного кодекса РФ):</w:t>
      </w:r>
    </w:p>
    <w:p w:rsidR="00A03606" w:rsidRPr="007059EF" w:rsidRDefault="00ED306E" w:rsidP="007059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рамках исполнения Постановления Правительства Российской Федерации от 27.12.2004г. №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861 «</w:t>
      </w:r>
      <w:r w:rsidR="00907654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907654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535AA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</w:t>
      </w:r>
      <w:proofErr w:type="gramEnd"/>
      <w:r w:rsidR="00535AA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="00535AA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также договора об</w:t>
      </w:r>
      <w:r w:rsidR="00A16095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осуществлении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технологического присоединения к электрическим сетям </w:t>
      </w:r>
      <w:r w:rsidR="00A16095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(максимальная мощность которых не менее 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670 кВт) от 06.08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.2021г. №</w:t>
      </w:r>
      <w:r w:rsidR="00A16095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21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50-004780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заключенного между ПAO «</w:t>
      </w:r>
      <w:proofErr w:type="spell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Россети</w:t>
      </w:r>
      <w:proofErr w:type="spellEnd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Волга» 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 Капустиной Е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В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</w:p>
    <w:p w:rsidR="00097BB1" w:rsidRPr="007059EF" w:rsidRDefault="00097BB1" w:rsidP="007059EF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Расчеты и доводы, касающиеся наиболее целесообразного способа установления публичного сервитута:</w:t>
      </w:r>
    </w:p>
    <w:p w:rsidR="00C706DD" w:rsidRPr="007059EF" w:rsidRDefault="00B15DE1" w:rsidP="007059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"ЛЭП-0,4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опор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ы № 100/2 ВЛ-0,4 </w:t>
      </w: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 КТП № 209/160 </w:t>
      </w: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ВЛ-10 </w:t>
      </w: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Ф-2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35/10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/6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«Купино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с установкой ПУ 380В в Безенчукском районе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Сретенка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предполагает размещение </w:t>
      </w:r>
      <w:proofErr w:type="spellStart"/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одноцепных</w:t>
      </w:r>
      <w:proofErr w:type="spellEnd"/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воздушных линий электропередачи ЛЭП-0,4кВ.</w:t>
      </w:r>
    </w:p>
    <w:p w:rsidR="00097BB1" w:rsidRPr="007059EF" w:rsidRDefault="00C706DD" w:rsidP="007059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ектов электросетевого хоз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связи, линейных объектов системы газоснаб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жения, нефтепроводов и нефтепродуктов,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электр</w:t>
      </w:r>
      <w:proofErr w:type="gram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о-</w:t>
      </w:r>
      <w:proofErr w:type="gramEnd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газо-, тепло-, водоснабжения населения и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7059EF" w:rsidRDefault="00892913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 основании п. 1.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l статьи 39.20 Земельного кодекса Российской Федерации, земельные участки, находя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щиеся в государственной или муни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равообладателям сооружений,  которые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Для </w:t>
      </w:r>
      <w:proofErr w:type="gramStart"/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ВЛ</w:t>
      </w:r>
      <w:proofErr w:type="gramEnd"/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номинального напряжения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,4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неотклоненном</w:t>
      </w:r>
      <w:proofErr w:type="spellEnd"/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их положении на расстоянии 4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РФ от 24.02.2009 г. 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№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160.</w:t>
      </w:r>
    </w:p>
    <w:p w:rsidR="00097BB1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этом публичный сервитут должен устанавливат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ься и осуществляться на условиях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наименее обременительных для использования земельного участка в соответствии с его целевым назначением и разрешенным использованием (ч. 8 ст. 23 Земельного кодекса РФ).</w:t>
      </w:r>
    </w:p>
    <w:p w:rsidR="00375BEF" w:rsidRPr="007059EF" w:rsidRDefault="00375BEF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Для функционирования воздушных линий 0,4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необходимы участки земли под опорами, размер которых определен согласно ведомственным строительные нормам №14278тм-т1 «Нормы отвода земель для линии электропередачи». Нормативные площади земельных участков, соответствующие типу опоры проектируемых ЛЭП-0,4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следующие:</w:t>
      </w:r>
    </w:p>
    <w:p w:rsidR="00375BEF" w:rsidRDefault="00375BEF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—Тип опоры П23 — 5,053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B15DE1" w:rsidRPr="007059EF" w:rsidRDefault="00B15DE1" w:rsidP="00B15DE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—Тип опоры УА23 — 23,26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B15DE1" w:rsidRPr="007059EF" w:rsidRDefault="00B15DE1" w:rsidP="00B15DE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—Тип опоры А23 — 11,17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7059EF" w:rsidRDefault="00B15DE1" w:rsidP="00B15D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Площадь земли для установления публич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 сервитута составляет 1110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,0</w:t>
      </w:r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gramStart"/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.м</w:t>
      </w:r>
      <w:proofErr w:type="spellEnd"/>
      <w:proofErr w:type="gramEnd"/>
    </w:p>
    <w:p w:rsidR="007528DA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бъекта имеет протяженность 0,319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км</w:t>
      </w:r>
      <w:proofErr w:type="gramStart"/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выбрана по результатам проведенного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стков для индивидуальной жилой з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астройки и ведения личного подсобного хозяйства. Большая часть проектируемой трассы проходит в одном коридоре с существующими линиями электропере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дачи, что соответствует принцип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Количество используемых опор</w:t>
      </w:r>
      <w:r w:rsidR="00BD34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10 шт., 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протяженность провода 0,338 км.</w:t>
      </w:r>
      <w:bookmarkStart w:id="0" w:name="_GoBack"/>
      <w:bookmarkEnd w:id="0"/>
    </w:p>
    <w:p w:rsidR="00097BB1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Руководствуясь подпунктом 2 пунктом 3 статьи 39.41 Земельного кодекса РФ по результатам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05FEF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Начальная точка (наименее удаленная от границ земельного участка 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аявителя), от </w:t>
      </w: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которой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возможно произвести питание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тв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заявителя 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это опора № 100/2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(КТП № 209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/16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097BB1" w:rsidRPr="007059EF" w:rsidRDefault="004705CC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Конечная точка (место расположения </w:t>
      </w:r>
      <w:proofErr w:type="spell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 заявителя) находится 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на землях неразграниченной государственной собственности, кадастровый квартал 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63:12:0704001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проходит по землям неразграниченной государст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венной собственн</w:t>
      </w:r>
      <w:r w:rsidR="00A524C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ости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524C6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прохождении по землям сельскохозяйственного назначения проектируемая воздушная линия по возможности максимально приб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лижена к границам данного участк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таким о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бразом, чтобы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ее размещение не препятствовало в будущем рациональному использованию земли.</w:t>
      </w:r>
    </w:p>
    <w:p w:rsidR="00097BB1" w:rsidRPr="007059EF" w:rsidRDefault="00A03606" w:rsidP="007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невозможности размещения инженерного сооружения на земель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ных </w:t>
      </w:r>
      <w:proofErr w:type="spellStart"/>
      <w:proofErr w:type="gramStart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y</w:t>
      </w:r>
      <w:proofErr w:type="gram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ч</w:t>
      </w:r>
      <w:r w:rsidR="00C05FEF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астках</w:t>
      </w:r>
      <w:proofErr w:type="spell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границах земель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общего</w:t>
      </w:r>
    </w:p>
    <w:p w:rsidR="00097BB1" w:rsidRDefault="00A03606" w:rsidP="007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,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территории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 пользования, на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землях 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) земельн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ом</w:t>
      </w:r>
      <w:r w:rsidR="00C05FEF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участке, находящихся в государственной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 муниципаль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ной собственности</w:t>
      </w:r>
      <w:r w:rsidR="00C05FEF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 </w:t>
      </w:r>
      <w:proofErr w:type="spellStart"/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</w:t>
      </w:r>
      <w:proofErr w:type="gramStart"/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e</w:t>
      </w:r>
      <w:proofErr w:type="spellEnd"/>
      <w:proofErr w:type="gramEnd"/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предоста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вленных гражданам или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лицам, таким образом чтобы протяженность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указанного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сооружени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я не превышала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две и более раза протяженность такого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сооружения в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случае его размещения на земельных участк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ах,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принадлежащих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гражданам и</w:t>
      </w:r>
      <w:r w:rsidR="00C05FEF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:</w:t>
      </w:r>
    </w:p>
    <w:p w:rsidR="007059EF" w:rsidRPr="007059EF" w:rsidRDefault="007059EF" w:rsidP="007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</w:p>
    <w:p w:rsidR="007A711A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селения, существующих зданий и с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ооружений.</w:t>
      </w:r>
    </w:p>
    <w:p w:rsidR="00097BB1" w:rsidRPr="007059EF" w:rsidRDefault="007A711A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Выбранн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Размещение  воздушной  линии  предусматривается  вблизи  существующих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автомобильных и поле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вых дорог, что позволит осуществить скорейшую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доставку оперативно-технического персонала для устранения 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возможных аварийных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ситуаций на линии электропередачи и обеспеч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 безопасную эксплуатацию объекта.</w:t>
      </w:r>
    </w:p>
    <w:p w:rsidR="007A711A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существующих объектов (здани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й, инженерных коммуникаций, автодорог и т.д.).</w:t>
      </w:r>
    </w:p>
    <w:p w:rsidR="007A711A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ия и не препятствует дальнейшем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использования.</w:t>
      </w:r>
    </w:p>
    <w:p w:rsidR="00097BB1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объекта </w:t>
      </w: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выбрана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учетом требований ГОСТ 32144-2013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«Нормы качества 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электри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ческой энергии в системах электроснабжения общего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ельны</w:t>
      </w:r>
      <w:r w:rsidR="00A6343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возможным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Учитывая все вышеизложенное, выбранная трасса является не только оптимальной, но и единственно возможной.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Данный вариант проектирования трассы является экономически целесообразным в условиях имеющейся местности.</w:t>
      </w:r>
    </w:p>
    <w:p w:rsidR="00097BB1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Таким образом, размещение инженерного сооружения исключительно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</w:t>
      </w:r>
    </w:p>
    <w:p w:rsidR="00A90B9C" w:rsidRPr="007059EF" w:rsidRDefault="00A90B9C" w:rsidP="00705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п.г.т. Безенчук, ул. Нефтяников, д.11, каб.2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4/3</w:t>
      </w:r>
      <w:r w:rsidR="00121C3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121C30" w:rsidP="00705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расположенный по адресу: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п.г.т. Безенчук, 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 Нефтяников, д.11, каб.24/3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04.08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.2022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B624DB" w:rsidP="007059EF">
      <w:pPr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Информация о поступившем ходатайстве об установлении публичного сервитута размещена на официальных интернет – сайтах </w:t>
      </w:r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сельского поселения 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Звезда</w:t>
      </w:r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(</w:t>
      </w:r>
      <w:r w:rsidR="007528DA" w:rsidRPr="007528DA">
        <w:rPr>
          <w:rFonts w:ascii="Arial" w:hAnsi="Arial" w:cs="Arial"/>
          <w:color w:val="333333"/>
          <w:sz w:val="20"/>
          <w:szCs w:val="20"/>
        </w:rPr>
        <w:t> </w:t>
      </w:r>
      <w:proofErr w:type="gramEnd"/>
      <w:hyperlink r:id="rId6" w:history="1">
        <w:r w:rsidR="007528DA" w:rsidRPr="007528DA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bdr w:val="none" w:sz="0" w:space="0" w:color="auto" w:frame="1"/>
          </w:rPr>
          <w:t>zvezdaadm@yandex.ru</w:t>
        </w:r>
      </w:hyperlink>
      <w:r w:rsidR="00892DCF" w:rsidRPr="007059EF">
        <w:rPr>
          <w:rFonts w:ascii="Times New Roman" w:hAnsi="Times New Roman" w:cs="Times New Roman"/>
          <w:sz w:val="26"/>
          <w:szCs w:val="26"/>
        </w:rPr>
        <w:t>)</w:t>
      </w:r>
      <w:r w:rsidR="00ED306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В</w:t>
      </w:r>
      <w:r w:rsidR="004F2379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естнике сельского 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поселения Звезда</w:t>
      </w:r>
      <w:r w:rsidR="004F2379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A90B9C" w:rsidP="0070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sectPr w:rsidR="00A90B9C" w:rsidRPr="007059EF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374ECE"/>
    <w:rsid w:val="00375BEF"/>
    <w:rsid w:val="004705CC"/>
    <w:rsid w:val="004F2379"/>
    <w:rsid w:val="004F60A8"/>
    <w:rsid w:val="00535AA8"/>
    <w:rsid w:val="005851CE"/>
    <w:rsid w:val="00626D5D"/>
    <w:rsid w:val="007035F8"/>
    <w:rsid w:val="007059EF"/>
    <w:rsid w:val="007528DA"/>
    <w:rsid w:val="007760EF"/>
    <w:rsid w:val="007A711A"/>
    <w:rsid w:val="007C2B11"/>
    <w:rsid w:val="008113B8"/>
    <w:rsid w:val="00821546"/>
    <w:rsid w:val="00892913"/>
    <w:rsid w:val="00892DCF"/>
    <w:rsid w:val="008A7B0D"/>
    <w:rsid w:val="00907654"/>
    <w:rsid w:val="0099627E"/>
    <w:rsid w:val="0099799D"/>
    <w:rsid w:val="009D23E3"/>
    <w:rsid w:val="00A03606"/>
    <w:rsid w:val="00A15D2F"/>
    <w:rsid w:val="00A16095"/>
    <w:rsid w:val="00A32466"/>
    <w:rsid w:val="00A4740C"/>
    <w:rsid w:val="00A524C6"/>
    <w:rsid w:val="00A63438"/>
    <w:rsid w:val="00A76DF5"/>
    <w:rsid w:val="00A90496"/>
    <w:rsid w:val="00A90B9C"/>
    <w:rsid w:val="00B15DE1"/>
    <w:rsid w:val="00B624DB"/>
    <w:rsid w:val="00BD3467"/>
    <w:rsid w:val="00C05FEF"/>
    <w:rsid w:val="00C706DD"/>
    <w:rsid w:val="00CE0004"/>
    <w:rsid w:val="00D27D86"/>
    <w:rsid w:val="00DE0859"/>
    <w:rsid w:val="00ED306E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a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cp:lastPrinted>2022-07-06T06:33:00Z</cp:lastPrinted>
  <dcterms:created xsi:type="dcterms:W3CDTF">2022-01-13T05:54:00Z</dcterms:created>
  <dcterms:modified xsi:type="dcterms:W3CDTF">2022-07-06T06:33:00Z</dcterms:modified>
</cp:coreProperties>
</file>